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黑体" w:hAnsi="黑体" w:eastAsia="黑体"/>
          <w:color w:val="FF000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2017年度中共霸州市委党校决算信息公开情况说明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按照《预算法》、《河北省财政厅关于印发&lt;河北省预决算公开操作规程实施细则&gt;的通知》（冀财预</w:t>
      </w:r>
      <w:r>
        <w:rPr>
          <w:rFonts w:hint="eastAsia" w:ascii="宋体" w:hAnsi="宋体" w:cs="宋体"/>
          <w:sz w:val="32"/>
          <w:szCs w:val="32"/>
        </w:rPr>
        <w:t>﹝</w:t>
      </w:r>
      <w:r>
        <w:rPr>
          <w:rFonts w:hint="eastAsia" w:ascii="仿宋_GB2312" w:hAnsi="仿宋" w:eastAsia="仿宋_GB2312"/>
          <w:sz w:val="32"/>
          <w:szCs w:val="32"/>
        </w:rPr>
        <w:t>2016</w:t>
      </w:r>
      <w:r>
        <w:rPr>
          <w:rFonts w:hint="eastAsia" w:ascii="宋体" w:hAnsi="宋体" w:cs="宋体"/>
          <w:sz w:val="32"/>
          <w:szCs w:val="32"/>
        </w:rPr>
        <w:t>﹞</w:t>
      </w:r>
      <w:r>
        <w:rPr>
          <w:rFonts w:hint="eastAsia" w:ascii="仿宋_GB2312" w:hAnsi="仿宋" w:eastAsia="仿宋_GB2312"/>
          <w:sz w:val="32"/>
          <w:szCs w:val="32"/>
        </w:rPr>
        <w:t>129号）等规定，现将2017年部门决算公开如下：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部门职责及机构设置情况</w:t>
      </w:r>
    </w:p>
    <w:p>
      <w:pPr>
        <w:widowControl/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部门职责：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1、培训轮训各级党员领导干部及后备干部，培养理论干部；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2、承办市委、市政府举办的专题研讨班；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3、围绕新情况新问题开展科学研究，承担市委、市政府下达的调研任务，推进理论创新；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4、针对改革开放和社会主义现代化进程中的重大理论和现实问题，开展马克思主义中国化最新成果的理论宣传，开展党的路线、方针、政策的宣传；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5、按照市委党校统一部署，做好教学、调查研究工作;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6、按照国家有关法律法规和政策规定，开展多种形式的干部继续教育和培训。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总的来说，就是要把党校办成培训轮训党员领导干部，培养党的理论队伍，学习、研究和宣传马克思列宁主义、毛泽东思想、邓小平理论、“三个代表”重要思想以及科学发展观等重大战略思想的重要阵地，使之成为干部加强党性锻炼的熔炉。</w:t>
      </w:r>
    </w:p>
    <w:p>
      <w:pPr>
        <w:widowControl/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机构设置：</w:t>
      </w:r>
    </w:p>
    <w:p>
      <w:pPr>
        <w:spacing w:line="560" w:lineRule="exact"/>
        <w:ind w:firstLine="560" w:firstLineChars="200"/>
        <w:outlineLvl w:val="0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t>部门机构设置情况</w:t>
      </w:r>
    </w:p>
    <w:tbl>
      <w:tblPr>
        <w:tblStyle w:val="4"/>
        <w:tblW w:w="910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6"/>
        <w:gridCol w:w="1887"/>
        <w:gridCol w:w="1190"/>
        <w:gridCol w:w="27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3316" w:type="dxa"/>
            <w:vMerge w:val="restart"/>
            <w:vAlign w:val="center"/>
          </w:tcPr>
          <w:p>
            <w:pPr>
              <w:spacing w:line="560" w:lineRule="exact"/>
              <w:ind w:firstLine="422" w:firstLineChars="200"/>
              <w:rPr>
                <w:rFonts w:eastAsia="方正书宋_GBK"/>
                <w:b/>
              </w:rPr>
            </w:pPr>
            <w:r>
              <w:rPr>
                <w:rFonts w:eastAsia="方正书宋_GBK"/>
                <w:b/>
              </w:rPr>
              <w:t>单位名称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spacing w:line="560" w:lineRule="exact"/>
              <w:ind w:firstLine="422" w:firstLineChars="200"/>
              <w:rPr>
                <w:rFonts w:eastAsia="方正书宋_GBK"/>
                <w:b/>
              </w:rPr>
            </w:pPr>
            <w:r>
              <w:rPr>
                <w:rFonts w:eastAsia="方正书宋_GBK"/>
                <w:b/>
              </w:rPr>
              <w:t>单位性质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spacing w:line="560" w:lineRule="exact"/>
              <w:ind w:firstLine="422" w:firstLineChars="200"/>
              <w:rPr>
                <w:rFonts w:eastAsia="方正书宋_GBK"/>
                <w:b/>
              </w:rPr>
            </w:pPr>
            <w:r>
              <w:rPr>
                <w:rFonts w:eastAsia="方正书宋_GBK"/>
                <w:b/>
              </w:rPr>
              <w:t>单位规格</w:t>
            </w:r>
          </w:p>
        </w:tc>
        <w:tc>
          <w:tcPr>
            <w:tcW w:w="2707" w:type="dxa"/>
            <w:vMerge w:val="restart"/>
            <w:vAlign w:val="center"/>
          </w:tcPr>
          <w:p>
            <w:pPr>
              <w:spacing w:line="560" w:lineRule="exact"/>
              <w:ind w:firstLine="422" w:firstLineChars="200"/>
              <w:rPr>
                <w:rFonts w:eastAsia="方正书宋_GBK"/>
                <w:b/>
              </w:rPr>
            </w:pPr>
            <w:r>
              <w:rPr>
                <w:rFonts w:eastAsia="方正书宋_GBK"/>
                <w:b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3316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outlineLvl w:val="0"/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outlineLvl w:val="0"/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outlineLvl w:val="0"/>
            </w:pPr>
          </w:p>
        </w:tc>
        <w:tc>
          <w:tcPr>
            <w:tcW w:w="2707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outlineLvl w:val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316" w:type="dxa"/>
            <w:vAlign w:val="center"/>
          </w:tcPr>
          <w:p>
            <w:pPr>
              <w:jc w:val="center"/>
              <w:rPr>
                <w:rFonts w:eastAsia="方正书宋_GBK"/>
                <w:color w:val="FF0000"/>
              </w:rPr>
            </w:pPr>
            <w:r>
              <w:rPr>
                <w:rFonts w:hint="eastAsia" w:ascii="仿宋_GB2312" w:eastAsia="仿宋_GB2312"/>
                <w:sz w:val="24"/>
              </w:rPr>
              <w:t>中共霸州市委党校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rFonts w:eastAsia="方正书宋_GBK"/>
                <w:color w:val="FF0000"/>
              </w:rPr>
            </w:pPr>
            <w:r>
              <w:rPr>
                <w:rFonts w:hint="eastAsia" w:ascii="仿宋_GB2312" w:eastAsia="仿宋_GB2312"/>
                <w:sz w:val="24"/>
              </w:rPr>
              <w:t>全额事业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eastAsia="方正书宋_GBK"/>
                <w:color w:val="FF0000"/>
              </w:rPr>
            </w:pPr>
            <w:r>
              <w:rPr>
                <w:rFonts w:hint="eastAsia" w:ascii="仿宋_GB2312" w:eastAsia="仿宋_GB2312"/>
                <w:sz w:val="24"/>
              </w:rPr>
              <w:t>正科级</w:t>
            </w:r>
          </w:p>
        </w:tc>
        <w:tc>
          <w:tcPr>
            <w:tcW w:w="2707" w:type="dxa"/>
            <w:vAlign w:val="center"/>
          </w:tcPr>
          <w:p>
            <w:pPr>
              <w:jc w:val="center"/>
              <w:rPr>
                <w:rFonts w:eastAsia="仿宋_GB2312"/>
                <w:color w:val="FF0000"/>
              </w:rPr>
            </w:pPr>
            <w:r>
              <w:rPr>
                <w:rFonts w:hint="eastAsia" w:ascii="仿宋_GB2312" w:eastAsia="仿宋_GB2312"/>
                <w:sz w:val="24"/>
              </w:rPr>
              <w:t>财政性资金基本保证</w:t>
            </w:r>
          </w:p>
        </w:tc>
      </w:tr>
    </w:tbl>
    <w:p>
      <w:pPr>
        <w:spacing w:line="560" w:lineRule="exact"/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</w:rPr>
        <w:t>我单位为1级预算单位，无下属单位，无汇总决算。</w:t>
      </w:r>
    </w:p>
    <w:p>
      <w:pPr>
        <w:spacing w:line="560" w:lineRule="exact"/>
        <w:ind w:firstLine="56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32"/>
          <w:szCs w:val="32"/>
        </w:rPr>
        <w:t>部门决算报表（见附件）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（一）收入支出决算总表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（二）收入决算表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（三）支出决算表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（四）财政拨款收入支出决算总表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（五）一般公共预算财政拨款收入支出决算表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（六）一般公共预算财政拨款基本支出决算经济分类表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（七）政府性基金预算财政拨款收入支出决算表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（八）国有资本经营预算财政拨款收入支出决算表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（九）“三公”经费等相关信息统计表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（十）政府采购情况表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2017年度部门决算情况说明</w:t>
      </w:r>
    </w:p>
    <w:p>
      <w:pPr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（一）收入支出决算总体情况说明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共霸州市委党校2017年度决算收入总计524.18万元，决算支出总计533.83万元，与2016年度决算收入相比，增加252.68万元，增长93.07%，主要原因是人员经费、维修费增加及偿还经法院判决的历史遗留欠账。2017年度决算支出决算总计533.83万元，与2016年度决算支出相比，较2016年度支出决算增加243.56万元，增长83.91%，主要原因是人员经费、维修费增加及偿还经法院判决的历史遗留欠账。</w:t>
      </w:r>
    </w:p>
    <w:p>
      <w:pPr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（二）收入决算情况说明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中共霸州市委党校2017年度收入合计524.18万元，其中财政拨款收入523.58万元，占比99.89%；事业收入0万元，占比0%；其他收入0.6万元，占比0.11%。</w:t>
      </w:r>
    </w:p>
    <w:p>
      <w:pPr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（三）支出决算情况说明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中共霸州市委党校</w:t>
      </w:r>
      <w:r>
        <w:rPr>
          <w:rFonts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</w:rPr>
        <w:t>7</w:t>
      </w:r>
      <w:r>
        <w:rPr>
          <w:rFonts w:ascii="仿宋_GB2312" w:hAnsi="仿宋" w:eastAsia="仿宋_GB2312"/>
          <w:sz w:val="32"/>
          <w:szCs w:val="32"/>
        </w:rPr>
        <w:t>年部门</w:t>
      </w:r>
      <w:r>
        <w:rPr>
          <w:rFonts w:hint="eastAsia" w:ascii="仿宋_GB2312" w:hAnsi="仿宋" w:eastAsia="仿宋_GB2312"/>
          <w:sz w:val="32"/>
          <w:szCs w:val="32"/>
        </w:rPr>
        <w:t>决</w:t>
      </w:r>
      <w:r>
        <w:rPr>
          <w:rFonts w:ascii="仿宋_GB2312" w:hAnsi="仿宋" w:eastAsia="仿宋_GB2312"/>
          <w:sz w:val="32"/>
          <w:szCs w:val="32"/>
        </w:rPr>
        <w:t>算支出为</w:t>
      </w:r>
      <w:r>
        <w:rPr>
          <w:rFonts w:hint="eastAsia" w:ascii="仿宋_GB2312" w:hAnsi="仿宋" w:eastAsia="仿宋_GB2312"/>
          <w:sz w:val="32"/>
          <w:szCs w:val="32"/>
        </w:rPr>
        <w:t>533.83</w:t>
      </w:r>
      <w:r>
        <w:rPr>
          <w:rFonts w:ascii="仿宋_GB2312" w:hAnsi="仿宋" w:eastAsia="仿宋_GB2312"/>
          <w:sz w:val="32"/>
          <w:szCs w:val="32"/>
        </w:rPr>
        <w:t>万元，其中：基本支出</w:t>
      </w:r>
      <w:r>
        <w:rPr>
          <w:rFonts w:hint="eastAsia" w:ascii="仿宋_GB2312" w:hAnsi="仿宋" w:eastAsia="仿宋_GB2312"/>
          <w:sz w:val="32"/>
          <w:szCs w:val="32"/>
        </w:rPr>
        <w:t>476.19</w:t>
      </w:r>
      <w:r>
        <w:rPr>
          <w:rFonts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</w:rPr>
        <w:t>占比89.2%，</w:t>
      </w:r>
      <w:r>
        <w:rPr>
          <w:rFonts w:ascii="仿宋_GB2312" w:hAnsi="仿宋" w:eastAsia="仿宋_GB2312"/>
          <w:sz w:val="32"/>
          <w:szCs w:val="32"/>
        </w:rPr>
        <w:t>包含人员经费支出</w:t>
      </w:r>
      <w:r>
        <w:rPr>
          <w:rFonts w:hint="eastAsia" w:ascii="仿宋_GB2312" w:hAnsi="仿宋" w:eastAsia="仿宋_GB2312"/>
          <w:sz w:val="32"/>
          <w:szCs w:val="32"/>
        </w:rPr>
        <w:t>388.18</w:t>
      </w:r>
      <w:r>
        <w:rPr>
          <w:rFonts w:ascii="仿宋_GB2312" w:hAnsi="仿宋" w:eastAsia="仿宋_GB2312"/>
          <w:sz w:val="32"/>
          <w:szCs w:val="32"/>
        </w:rPr>
        <w:t>万元和日常公用经费支出</w:t>
      </w:r>
      <w:r>
        <w:rPr>
          <w:rFonts w:hint="eastAsia" w:ascii="仿宋_GB2312" w:hAnsi="仿宋" w:eastAsia="仿宋_GB2312"/>
          <w:sz w:val="32"/>
          <w:szCs w:val="32"/>
        </w:rPr>
        <w:t>88.01</w:t>
      </w:r>
      <w:r>
        <w:rPr>
          <w:rFonts w:ascii="仿宋_GB2312" w:hAnsi="仿宋" w:eastAsia="仿宋_GB2312"/>
          <w:sz w:val="32"/>
          <w:szCs w:val="32"/>
        </w:rPr>
        <w:t>万元；项目支出</w:t>
      </w:r>
      <w:r>
        <w:rPr>
          <w:rFonts w:hint="eastAsia" w:ascii="仿宋_GB2312" w:hAnsi="仿宋" w:eastAsia="仿宋_GB2312"/>
          <w:sz w:val="32"/>
          <w:szCs w:val="32"/>
        </w:rPr>
        <w:t>57.04</w:t>
      </w:r>
      <w:r>
        <w:rPr>
          <w:rFonts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</w:rPr>
        <w:t>，占比10.69%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（四）财政拨款收入支出决算总体情况说明</w:t>
      </w:r>
    </w:p>
    <w:p>
      <w:pPr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</w:rPr>
        <w:t>1、财政拨款收支与2016年度决算对比情况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中共霸州市委党校</w:t>
      </w:r>
      <w:r>
        <w:rPr>
          <w:rFonts w:hint="eastAsia" w:ascii="仿宋" w:hAnsi="仿宋" w:eastAsia="仿宋" w:cs="仿宋"/>
          <w:sz w:val="32"/>
          <w:szCs w:val="32"/>
        </w:rPr>
        <w:t>2017年财政拨款收入决算总计523.58万元，较2016年</w:t>
      </w:r>
      <w:r>
        <w:rPr>
          <w:rFonts w:hint="eastAsia" w:ascii="仿宋" w:hAnsi="仿宋" w:eastAsia="仿宋" w:cs="仿宋"/>
          <w:sz w:val="32"/>
        </w:rPr>
        <w:t>度决算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增加252.08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 w:themeColor="text1"/>
          <w:sz w:val="32"/>
        </w:rPr>
        <w:t>增长92.85%</w:t>
      </w:r>
      <w:r>
        <w:rPr>
          <w:rFonts w:hint="eastAsia" w:ascii="仿宋" w:hAnsi="仿宋" w:eastAsia="仿宋" w:cs="仿宋"/>
          <w:color w:val="000000"/>
          <w:sz w:val="32"/>
        </w:rPr>
        <w:t>，主要原因</w:t>
      </w:r>
      <w:r>
        <w:rPr>
          <w:rFonts w:hint="eastAsia" w:ascii="仿宋_GB2312" w:hAnsi="仿宋" w:eastAsia="仿宋_GB2312"/>
          <w:sz w:val="32"/>
          <w:szCs w:val="32"/>
        </w:rPr>
        <w:t>是人员经费、维修费增加及偿还经法院判决的历史遗留欠账</w:t>
      </w:r>
      <w:r>
        <w:rPr>
          <w:rFonts w:hint="eastAsia" w:ascii="仿宋" w:hAnsi="仿宋" w:eastAsia="仿宋" w:cs="仿宋"/>
          <w:color w:val="000000"/>
          <w:sz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其中，一般公共预算拨款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增加</w:t>
      </w:r>
      <w:r>
        <w:rPr>
          <w:rFonts w:hint="eastAsia" w:ascii="仿宋" w:hAnsi="仿宋" w:eastAsia="仿宋" w:cs="仿宋"/>
          <w:sz w:val="32"/>
          <w:szCs w:val="32"/>
        </w:rPr>
        <w:t>252.08万元，政府性基金预算财</w:t>
      </w:r>
      <w:r>
        <w:rPr>
          <w:rFonts w:hint="eastAsia" w:ascii="仿宋_GB2312" w:hAnsi="仿宋" w:eastAsia="仿宋_GB2312"/>
          <w:sz w:val="32"/>
          <w:szCs w:val="32"/>
        </w:rPr>
        <w:t>政拨款增加0万元。2017年财政拨款支出决算总计533.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3万元，较2016年度支出决算增加243.56万元，增长8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08</w:t>
      </w:r>
      <w:r>
        <w:rPr>
          <w:rFonts w:hint="eastAsia" w:ascii="仿宋_GB2312" w:hAnsi="仿宋" w:eastAsia="仿宋_GB2312"/>
          <w:sz w:val="32"/>
          <w:szCs w:val="32"/>
        </w:rPr>
        <w:t>%，主要原因是人员经费、维修费增加及偿还经法院判决的历史遗留欠账。其中基本支出增加185.92万元，项目支出增加57.04万元。</w:t>
      </w:r>
    </w:p>
    <w:p>
      <w:pPr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22"/>
        </w:rPr>
      </w:pPr>
      <w:r>
        <w:rPr>
          <w:rFonts w:hint="eastAsia" w:ascii="仿宋" w:hAnsi="仿宋" w:eastAsia="仿宋" w:cs="仿宋"/>
          <w:b/>
          <w:bCs/>
          <w:sz w:val="32"/>
          <w:szCs w:val="22"/>
        </w:rPr>
        <w:t>2、财政拨款收支与年初预算数对比情况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_GB2312" w:hAnsi="仿宋" w:eastAsia="仿宋_GB2312"/>
          <w:sz w:val="32"/>
          <w:szCs w:val="32"/>
        </w:rPr>
        <w:t>中共霸州市委党校</w:t>
      </w:r>
      <w:r>
        <w:rPr>
          <w:rFonts w:hint="eastAsia" w:ascii="仿宋" w:hAnsi="仿宋" w:eastAsia="仿宋" w:cs="仿宋"/>
          <w:sz w:val="32"/>
          <w:szCs w:val="32"/>
        </w:rPr>
        <w:t>2017年财政拨款收入决算总计523.58万元，较年初预</w:t>
      </w:r>
      <w:r>
        <w:rPr>
          <w:rFonts w:hint="eastAsia" w:ascii="仿宋_GB2312" w:hAnsi="仿宋" w:eastAsia="仿宋_GB2312"/>
          <w:sz w:val="32"/>
          <w:szCs w:val="32"/>
        </w:rPr>
        <w:t>算增加189.25万元，增长56.61%，主要原因是人员经费、维修费增加。其中，一般公共预算拨款增加141.86万元，政府性基金预算财政拨款增加0万元。2017年财政拨款支出决算总计533.23万元，较年初预算增加198.9万元，增长59.49%，主要原因是人员经费、维修费增加。其中基本支出增加141.86万元，项目支出增加57.04万元</w:t>
      </w:r>
      <w:r>
        <w:rPr>
          <w:rFonts w:hint="eastAsia" w:ascii="仿宋" w:hAnsi="仿宋" w:eastAsia="仿宋" w:cs="仿宋"/>
          <w:color w:val="000000"/>
          <w:sz w:val="32"/>
        </w:rPr>
        <w:t>。</w:t>
      </w:r>
    </w:p>
    <w:p>
      <w:pPr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（五）“三公”经费支出决算情况说明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2017年度部门“三公”经费支出4.27万元，比预算增加1.77万元，比2016年度决算增加0万元。原因是2017年单位有1辆公务用车，我单位车辆老化维修费增加，造成2017年决算比预算增加1.77万元。其中：因公出国（境）费0万元（本单位2017年度组织出国（境）团组0个，因公出国（境）人次数0人），比预算增加0万元，比2016年度决算增加0万元，原因是本部门厉行勤俭节约，杜绝各种不合理开支，严格部门财经纪律市“三公”经费；公务用车购置及运行维护费4.27万元（公务用车购置数量0辆，购置金额0万元，公车运行维护费4.27万元，年末公务用车保有量1辆），比预算增加1.77万元，比2016年度决算增加0万元，原因是本部门厉行勤俭节约，杜绝各种不合理开支，严格部门财经纪律市“三公”经费；公务接待费0万元（2017年度国内公务接待0批次，合计接待0人次），比预算增加0万元，比2016年度决算增加0万元，原因是本部门厉行勤俭节约，杜</w:t>
      </w:r>
      <w:r>
        <w:rPr>
          <w:rFonts w:hint="eastAsia" w:ascii="仿宋" w:hAnsi="仿宋" w:eastAsia="仿宋"/>
          <w:sz w:val="32"/>
          <w:szCs w:val="32"/>
        </w:rPr>
        <w:t>绝各种不合理开支，严格部门财经纪律市“三公”经费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（六）预算绩效管理工作开展情况说明</w:t>
      </w:r>
    </w:p>
    <w:p>
      <w:pPr>
        <w:autoSpaceDE w:val="0"/>
        <w:autoSpaceDN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1、预算绩效管理工作开展情况</w:t>
      </w:r>
    </w:p>
    <w:p>
      <w:pPr>
        <w:autoSpaceDE w:val="0"/>
        <w:autoSpaceDN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根据省财政厅和市财政局预算绩效管理要求，中共霸州市委党校以“部门职责——工作活动”为依据，确定部门预算项目和预算额度，清晰描述预算项目开支范围和内容，确定预算项目的绩效目标、绩效指标和评价标准，为预算绩效控制、绩效分析、绩效评价打下了良好基础。</w:t>
      </w:r>
    </w:p>
    <w:p>
      <w:pPr>
        <w:autoSpaceDE w:val="0"/>
        <w:autoSpaceDN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2、预算项目绩效评价开展情况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按照省财政厅和市财政局预算绩效管理要求，中共霸州市委党校对2017年初确定的部门一般公共预算支出项目全年开展了绩效自评。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评价结果为优。其中：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中共霸州市委党校2017年决算项目2项，共涉及预算资金57.04万元，绩效自评覆盖率达100%。</w:t>
      </w:r>
      <w:r>
        <w:rPr>
          <w:rFonts w:hint="eastAsia" w:ascii="仿宋" w:hAnsi="仿宋" w:eastAsia="仿宋"/>
          <w:sz w:val="32"/>
          <w:szCs w:val="32"/>
          <w:lang w:eastAsia="zh-CN"/>
        </w:rPr>
        <w:t>纲要规划成果完成率为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95%，绩效指标评价为优，综合利用率为90%，绩效指标评价为良。</w:t>
      </w:r>
    </w:p>
    <w:p>
      <w:pPr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（七）其他重要事项的说明</w:t>
      </w:r>
    </w:p>
    <w:p>
      <w:pPr>
        <w:widowControl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</w:t>
      </w:r>
      <w:r>
        <w:rPr>
          <w:rFonts w:hint="eastAsia" w:eastAsia="仿宋_GB2312"/>
          <w:b/>
          <w:bCs/>
          <w:sz w:val="32"/>
          <w:szCs w:val="32"/>
        </w:rPr>
        <w:t>、</w:t>
      </w:r>
      <w:r>
        <w:rPr>
          <w:rFonts w:eastAsia="仿宋_GB2312"/>
          <w:b/>
          <w:bCs/>
          <w:sz w:val="32"/>
          <w:szCs w:val="32"/>
        </w:rPr>
        <w:t>机关运行经费情况</w:t>
      </w:r>
      <w:r>
        <w:rPr>
          <w:rFonts w:hint="eastAsia" w:eastAsia="仿宋_GB2312"/>
          <w:b/>
          <w:bCs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2017年度部门机关运行经费支出83.78万元，比2016年度增加43.55万元，增长108.25%。</w:t>
      </w:r>
      <w:r>
        <w:rPr>
          <w:rFonts w:hint="eastAsia" w:ascii="仿宋" w:hAnsi="仿宋" w:eastAsia="仿宋" w:cs="仿宋"/>
          <w:color w:val="000000"/>
          <w:sz w:val="32"/>
        </w:rPr>
        <w:t>主要</w:t>
      </w:r>
      <w:r>
        <w:rPr>
          <w:rFonts w:hint="eastAsia" w:ascii="仿宋_GB2312" w:hAnsi="仿宋" w:eastAsia="仿宋_GB2312"/>
          <w:sz w:val="32"/>
          <w:szCs w:val="32"/>
        </w:rPr>
        <w:t>原因是维修费增加及偿还经法院判决的历史遗留欠账。</w:t>
      </w:r>
    </w:p>
    <w:p>
      <w:pPr>
        <w:autoSpaceDE w:val="0"/>
        <w:autoSpaceDN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</w:rPr>
        <w:t>2</w:t>
      </w:r>
      <w:r>
        <w:rPr>
          <w:rFonts w:hint="eastAsia" w:eastAsia="仿宋_GB2312"/>
          <w:b/>
          <w:bCs/>
          <w:sz w:val="32"/>
          <w:szCs w:val="32"/>
        </w:rPr>
        <w:t>、</w:t>
      </w:r>
      <w:r>
        <w:rPr>
          <w:rFonts w:eastAsia="仿宋_GB2312"/>
          <w:b/>
          <w:bCs/>
          <w:sz w:val="32"/>
          <w:szCs w:val="32"/>
        </w:rPr>
        <w:t>政府采购情况</w:t>
      </w:r>
      <w:r>
        <w:rPr>
          <w:rFonts w:hint="eastAsia" w:eastAsia="仿宋_GB2312"/>
          <w:b/>
          <w:bCs/>
          <w:sz w:val="32"/>
          <w:szCs w:val="32"/>
        </w:rPr>
        <w:t>：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7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度部门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政府采购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支出57.04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万元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，其中：政府采购货物支出24.26万元，政府采购工程支出0万元，政府采购服务支出32.78万元。</w:t>
      </w:r>
    </w:p>
    <w:p>
      <w:pPr>
        <w:widowControl/>
        <w:spacing w:line="560" w:lineRule="exact"/>
        <w:ind w:firstLine="643" w:firstLineChars="200"/>
        <w:rPr>
          <w:rFonts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</w:rPr>
        <w:t>3</w:t>
      </w:r>
      <w:r>
        <w:rPr>
          <w:rFonts w:hint="eastAsia" w:eastAsia="仿宋_GB2312"/>
          <w:b/>
          <w:bCs/>
          <w:sz w:val="32"/>
          <w:szCs w:val="32"/>
        </w:rPr>
        <w:t>、</w:t>
      </w:r>
      <w:r>
        <w:rPr>
          <w:rFonts w:eastAsia="仿宋_GB2312"/>
          <w:b/>
          <w:bCs/>
          <w:sz w:val="32"/>
          <w:szCs w:val="32"/>
        </w:rPr>
        <w:t>国有资产占用情况</w:t>
      </w:r>
      <w:r>
        <w:rPr>
          <w:rFonts w:hint="eastAsia" w:eastAsia="仿宋_GB2312"/>
          <w:b/>
          <w:bCs/>
          <w:sz w:val="32"/>
          <w:szCs w:val="32"/>
        </w:rPr>
        <w:t>:</w:t>
      </w:r>
      <w:r>
        <w:rPr>
          <w:rFonts w:hint="eastAsia" w:ascii="仿宋_GB2312" w:hAnsi="仿宋_GB2312" w:eastAsia="仿宋_GB2312"/>
          <w:color w:val="000000"/>
          <w:sz w:val="32"/>
        </w:rPr>
        <w:t>截至2017年12月31日，本部门共有车辆1辆，其中，一般公务用车1辆；单位价值50万元以上通用设备0台（套），单价100万元以上专用设备0台（套）。</w:t>
      </w:r>
    </w:p>
    <w:tbl>
      <w:tblPr>
        <w:tblStyle w:val="4"/>
        <w:tblW w:w="89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2081"/>
        <w:gridCol w:w="3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562" w:firstLineChars="20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中共霸州市委党校固定资产占用情况表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5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编制部门：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502</w:t>
            </w:r>
            <w:r>
              <w:rPr>
                <w:rFonts w:hint="eastAsia" w:ascii="宋体" w:hAnsi="宋体" w:cs="宋体"/>
                <w:kern w:val="0"/>
                <w:sz w:val="22"/>
              </w:rPr>
              <w:t>中共霸州市委党校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截止时间：201</w:t>
            </w:r>
            <w:r>
              <w:rPr>
                <w:rFonts w:hint="eastAsia"/>
                <w:kern w:val="0"/>
                <w:sz w:val="22"/>
              </w:rPr>
              <w:t>7</w:t>
            </w:r>
            <w:r>
              <w:rPr>
                <w:kern w:val="0"/>
                <w:sz w:val="22"/>
              </w:rPr>
              <w:t>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2" w:firstLineChars="200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项  目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2" w:firstLineChars="200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3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2" w:firstLineChars="200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资产总额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376.36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1、房屋（平方米）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5268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281.00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其中：办公用房（平方米）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1992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2、车辆（台、辆）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19.98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3、单价在50万元以上的设备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4、其他固定资产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75.38</w:t>
            </w:r>
          </w:p>
        </w:tc>
      </w:tr>
    </w:tbl>
    <w:p>
      <w:pPr>
        <w:widowControl/>
        <w:spacing w:line="560" w:lineRule="exact"/>
        <w:ind w:firstLine="643" w:firstLineChars="200"/>
        <w:rPr>
          <w:rFonts w:eastAsia="仿宋_GB2312"/>
          <w:b w:val="0"/>
          <w:bCs w:val="0"/>
          <w:color w:val="000000" w:themeColor="text1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4</w:t>
      </w:r>
      <w:r>
        <w:rPr>
          <w:rFonts w:hint="eastAsia" w:eastAsia="仿宋_GB2312"/>
          <w:b/>
          <w:bCs/>
          <w:sz w:val="32"/>
          <w:szCs w:val="32"/>
        </w:rPr>
        <w:t>、</w:t>
      </w:r>
      <w:r>
        <w:rPr>
          <w:rFonts w:eastAsia="仿宋_GB2312"/>
          <w:b/>
          <w:bCs/>
          <w:sz w:val="32"/>
          <w:szCs w:val="32"/>
        </w:rPr>
        <w:t>其他需要说明的情况</w:t>
      </w:r>
      <w:r>
        <w:rPr>
          <w:rFonts w:hint="eastAsia" w:eastAsia="仿宋_GB2312"/>
          <w:b/>
          <w:bCs/>
          <w:sz w:val="32"/>
          <w:szCs w:val="32"/>
        </w:rPr>
        <w:t>: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由于决算公开表格中金额数值应当保留两位小数，公开数据为四舍五入计算结果，个别数据合计项与分项之和存在小数点后差额，特此说明</w:t>
      </w:r>
      <w:r>
        <w:rPr>
          <w:rFonts w:hint="eastAsia" w:eastAsia="仿宋_GB2312"/>
          <w:b w:val="0"/>
          <w:bCs w:val="0"/>
          <w:color w:val="000000" w:themeColor="text1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eastAsia="黑体"/>
          <w:sz w:val="32"/>
          <w:szCs w:val="32"/>
        </w:rPr>
        <w:t>名词解释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（一）财政拨款收入：本年度从本级财政部门取得的财政拨款，包括一般公共预算财政拨款和政府性基金预算财政拨款。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（二）其他收入：指除上述“财政拨款收入”、“事业收入”、“经营收入”等以外的收入。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（三）年初结转和结余：指以前年度尚未完成、结转到本年仍按原规定用途继续使用的资金，或项目已完成等产生的结余资金。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（四）年末结转和结余：指单位按有关规定结转到下年或以后年度继续使用的资金，或项目已完成等产生的结余资金。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（五）基本支出：填列单位为保障机构正常运转、完成日常工作任务而发生的各项支出。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（六）项目支出：填列单位为完成特定的行政工作任务或事业发展目标，在基本支出之外发生的各项支出</w:t>
      </w:r>
      <w:r>
        <w:rPr>
          <w:rFonts w:hint="eastAsia" w:eastAsia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七）“三公”经费：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（八）</w:t>
      </w:r>
      <w:r>
        <w:rPr>
          <w:rFonts w:hint="eastAsia" w:ascii="仿宋" w:hAnsi="仿宋" w:eastAsia="仿宋"/>
          <w:sz w:val="32"/>
          <w:szCs w:val="32"/>
        </w:rPr>
        <w:t>公务用车购置：</w:t>
      </w:r>
      <w:r>
        <w:rPr>
          <w:rFonts w:eastAsia="仿宋_GB2312"/>
          <w:color w:val="000000"/>
          <w:kern w:val="0"/>
          <w:sz w:val="32"/>
          <w:szCs w:val="32"/>
        </w:rPr>
        <w:t>填列单位公务用车车辆购置支出（含车辆购置税）。</w:t>
      </w:r>
    </w:p>
    <w:p>
      <w:pPr>
        <w:widowControl/>
        <w:spacing w:line="560" w:lineRule="exact"/>
        <w:ind w:firstLine="640" w:firstLineChars="200"/>
      </w:pPr>
      <w:r>
        <w:rPr>
          <w:rFonts w:eastAsia="仿宋_GB2312"/>
          <w:color w:val="000000"/>
          <w:kern w:val="0"/>
          <w:sz w:val="32"/>
          <w:szCs w:val="32"/>
        </w:rPr>
        <w:t>（九）机关运行经费：指为保障行政单位（包括参照公务员法管理的事业单位）运行用于购买货物和服务的各项资金，包括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sectPr>
      <w:footerReference r:id="rId3" w:type="even"/>
      <w:pgSz w:w="11906" w:h="16838"/>
      <w:pgMar w:top="1440" w:right="1701" w:bottom="1440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5825"/>
    <w:multiLevelType w:val="singleLevel"/>
    <w:tmpl w:val="5F6E582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525878"/>
    <w:rsid w:val="00613F0E"/>
    <w:rsid w:val="006444CD"/>
    <w:rsid w:val="006F5AD6"/>
    <w:rsid w:val="00AA508E"/>
    <w:rsid w:val="00E23F56"/>
    <w:rsid w:val="01EB3C1E"/>
    <w:rsid w:val="16525878"/>
    <w:rsid w:val="1928468B"/>
    <w:rsid w:val="1F4E50FF"/>
    <w:rsid w:val="25436965"/>
    <w:rsid w:val="28AA2CAB"/>
    <w:rsid w:val="2D3C3ACF"/>
    <w:rsid w:val="470776FF"/>
    <w:rsid w:val="6829703E"/>
    <w:rsid w:val="78F6361E"/>
    <w:rsid w:val="7F3F66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3123</Words>
  <Characters>476</Characters>
  <Lines>3</Lines>
  <Paragraphs>7</Paragraphs>
  <TotalTime>60</TotalTime>
  <ScaleCrop>false</ScaleCrop>
  <LinksUpToDate>false</LinksUpToDate>
  <CharactersWithSpaces>3592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2019-01-19T12:13:00Z</dcterms:created>
  <dc:creator>Administrator</dc:creator>
  <cp:lastModifiedBy>无心之言*</cp:lastModifiedBy>
  <dcterms:modified xsi:type="dcterms:W3CDTF">2019-01-29T07:51:42Z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